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28016EBF" w:rsidR="00EF41C8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6B5A2027" w14:textId="60E852BA" w:rsidR="0097135C" w:rsidRPr="0097135C" w:rsidRDefault="0097135C" w:rsidP="0097135C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E465B">
        <w:rPr>
          <w:szCs w:val="22"/>
          <w:lang w:val="da-DK"/>
        </w:rPr>
        <w:t>Het juiste a</w:t>
      </w:r>
      <w:r w:rsidRPr="0097135C">
        <w:rPr>
          <w:szCs w:val="22"/>
          <w:lang w:val="da-DK"/>
        </w:rPr>
        <w:t xml:space="preserve">ntwoord is </w:t>
      </w:r>
      <w:r w:rsidR="005E465B">
        <w:rPr>
          <w:szCs w:val="22"/>
          <w:lang w:val="da-DK"/>
        </w:rPr>
        <w:t>b</w:t>
      </w:r>
      <w:r w:rsidRPr="0097135C">
        <w:rPr>
          <w:szCs w:val="22"/>
          <w:lang w:val="da-DK"/>
        </w:rPr>
        <w:t>, te weten einde van rechtswege per 31 juli 202</w:t>
      </w:r>
      <w:r w:rsidR="003D1246">
        <w:rPr>
          <w:szCs w:val="22"/>
          <w:lang w:val="da-DK"/>
        </w:rPr>
        <w:t>5</w:t>
      </w:r>
      <w:r w:rsidRPr="0097135C">
        <w:rPr>
          <w:szCs w:val="22"/>
          <w:lang w:val="da-DK"/>
        </w:rPr>
        <w:t xml:space="preserve">. </w:t>
      </w:r>
    </w:p>
    <w:p w14:paraId="7B906CE7" w14:textId="0FBA323B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 xml:space="preserve">A is niet juist omdat een </w:t>
      </w:r>
      <w:r w:rsidR="005E465B">
        <w:rPr>
          <w:szCs w:val="22"/>
          <w:lang w:val="da-DK"/>
        </w:rPr>
        <w:t>arbeidsovereenkomst</w:t>
      </w:r>
      <w:r w:rsidRPr="0097135C">
        <w:rPr>
          <w:szCs w:val="22"/>
          <w:lang w:val="da-DK"/>
        </w:rPr>
        <w:t xml:space="preserve"> voor bepaalde tijd ook </w:t>
      </w:r>
      <w:r w:rsidR="005E465B">
        <w:rPr>
          <w:szCs w:val="22"/>
          <w:lang w:val="da-DK"/>
        </w:rPr>
        <w:t xml:space="preserve">voor </w:t>
      </w:r>
      <w:r w:rsidRPr="0097135C">
        <w:rPr>
          <w:szCs w:val="22"/>
          <w:lang w:val="da-DK"/>
        </w:rPr>
        <w:t xml:space="preserve">langer kan worden overeengekomen dan 2 jaar zonder dat deze dan verwordt tot een </w:t>
      </w:r>
      <w:r w:rsidR="005E465B">
        <w:rPr>
          <w:szCs w:val="22"/>
          <w:lang w:val="da-DK"/>
        </w:rPr>
        <w:t>arbeidsovereenkomst</w:t>
      </w:r>
      <w:r w:rsidR="005E465B" w:rsidRPr="0097135C">
        <w:rPr>
          <w:szCs w:val="22"/>
          <w:lang w:val="da-DK"/>
        </w:rPr>
        <w:t xml:space="preserve"> </w:t>
      </w:r>
      <w:r w:rsidRPr="0097135C">
        <w:rPr>
          <w:szCs w:val="22"/>
          <w:lang w:val="da-DK"/>
        </w:rPr>
        <w:t>voor onbep</w:t>
      </w:r>
      <w:r w:rsidR="005E465B">
        <w:rPr>
          <w:szCs w:val="22"/>
          <w:lang w:val="da-DK"/>
        </w:rPr>
        <w:t>aalde</w:t>
      </w:r>
      <w:r w:rsidRPr="0097135C">
        <w:rPr>
          <w:szCs w:val="22"/>
          <w:lang w:val="da-DK"/>
        </w:rPr>
        <w:t xml:space="preserve"> tijd. </w:t>
      </w:r>
    </w:p>
    <w:p w14:paraId="6EAEDA1E" w14:textId="77777777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C is niet juist omdat werkgever enkel kan opzeggen (ook tussentijds) nadat een procedure is gevolgd en een vergunning is verkregen.</w:t>
      </w:r>
    </w:p>
    <w:p w14:paraId="5A024BA2" w14:textId="44F2A902" w:rsidR="0097135C" w:rsidRPr="00673F65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D is niet juist omdat een werknemer geen ontslagvergunning nodig heeft om op te zeggen, maar kan volstaan met een briefje.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4E94F634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3D1246">
        <w:rPr>
          <w:szCs w:val="22"/>
        </w:rPr>
        <w:t>4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168E0492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  <w:r w:rsidR="0097135C">
        <w:rPr>
          <w:szCs w:val="22"/>
          <w:lang w:val="da-DK"/>
        </w:rPr>
        <w:t xml:space="preserve"> (art. 7:672 lid 8 BW)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1F7B9FE4" w:rsidR="00EF41C8" w:rsidRPr="00673F65" w:rsidRDefault="00EF41C8" w:rsidP="00BE1264">
      <w:pPr>
        <w:rPr>
          <w:szCs w:val="22"/>
        </w:rPr>
      </w:pPr>
      <w:proofErr w:type="spellStart"/>
      <w:r w:rsidRPr="00673F65">
        <w:rPr>
          <w:szCs w:val="22"/>
        </w:rPr>
        <w:t>Omar</w:t>
      </w:r>
      <w:proofErr w:type="spellEnd"/>
      <w:r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 De kans is groot dat de rechter de werknemer zal houden aan zijn overeenkomst en het verzoek zal afwijzen.</w:t>
      </w:r>
      <w:r w:rsidR="00D0000E" w:rsidRPr="00673F65">
        <w:rPr>
          <w:szCs w:val="22"/>
        </w:rPr>
        <w:br/>
      </w:r>
      <w:r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68D72C08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 xml:space="preserve">rt. 7:672 lid </w:t>
      </w:r>
      <w:r w:rsidR="0097135C">
        <w:rPr>
          <w:szCs w:val="22"/>
          <w:lang w:val="da-DK"/>
        </w:rPr>
        <w:t>8</w:t>
      </w:r>
      <w:r w:rsidRPr="00673F65">
        <w:rPr>
          <w:szCs w:val="22"/>
          <w:lang w:val="da-DK"/>
        </w:rPr>
        <w:t xml:space="preserve">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7DD9E37E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>weken.</w:t>
      </w:r>
      <w:r w:rsidR="0097135C">
        <w:rPr>
          <w:szCs w:val="22"/>
        </w:rPr>
        <w:t xml:space="preserve"> Met een aan werkgever schriftelijk gerichte verklaring. </w:t>
      </w:r>
      <w:r w:rsidR="00473FF3" w:rsidRPr="00673F65">
        <w:rPr>
          <w:szCs w:val="22"/>
        </w:rPr>
        <w:t xml:space="preserve">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66639BD3" w:rsidR="00EF41C8" w:rsidRDefault="00EF41C8" w:rsidP="00770EE2">
      <w:pPr>
        <w:ind w:left="567" w:hanging="567"/>
        <w:rPr>
          <w:szCs w:val="22"/>
          <w:lang w:val="da-DK"/>
        </w:rPr>
      </w:pPr>
    </w:p>
    <w:p w14:paraId="165DCDCA" w14:textId="77777777" w:rsidR="0097135C" w:rsidRPr="00673F65" w:rsidRDefault="0097135C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6A5690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5B4277D3" w14:textId="77777777" w:rsidR="0097135C" w:rsidRDefault="0097135C" w:rsidP="00770EE2">
      <w:pPr>
        <w:ind w:left="567" w:hanging="567"/>
        <w:rPr>
          <w:szCs w:val="22"/>
          <w:lang w:val="da-DK"/>
        </w:rPr>
      </w:pPr>
    </w:p>
    <w:p w14:paraId="31EC4A34" w14:textId="3322DB43" w:rsidR="002A241E" w:rsidRPr="00673F65" w:rsidRDefault="002A241E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="00571A21" w:rsidRPr="00673F65">
        <w:rPr>
          <w:szCs w:val="22"/>
          <w:lang w:val="da-DK"/>
        </w:rPr>
        <w:t>1</w:t>
      </w:r>
      <w:r w:rsidRPr="00673F65">
        <w:rPr>
          <w:szCs w:val="22"/>
          <w:lang w:val="da-DK"/>
        </w:rPr>
        <w:t xml:space="preserve"> </w:t>
      </w:r>
    </w:p>
    <w:p w14:paraId="50E78575" w14:textId="77777777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 xml:space="preserve">Er is een ontslagvergunning verleend door UWV. Het opzegverbod is niet van toepassing gezien art. 7:670 lid 1 onder b BW. 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Gezien de duur van het dienstverband is de opzegtermijn 4 maanden (art. 7:672 lid 2 BW). Er mag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>maand in mindering worden gebracht vanwege de duur van de procedure (art. 7:672</w:t>
      </w:r>
      <w:r w:rsidR="00EE326E" w:rsidRPr="00673F65">
        <w:rPr>
          <w:szCs w:val="22"/>
        </w:rPr>
        <w:t xml:space="preserve"> </w:t>
      </w:r>
      <w:r w:rsidRPr="00673F65">
        <w:rPr>
          <w:szCs w:val="22"/>
        </w:rPr>
        <w:t>lid 5 BW).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Opzegging geschiedt tegen het einde van de maand, tenzij schriftelijk </w:t>
      </w:r>
      <w:r w:rsidR="00D022F8" w:rsidRPr="00673F65">
        <w:rPr>
          <w:szCs w:val="22"/>
        </w:rPr>
        <w:t xml:space="preserve">iets anders </w:t>
      </w:r>
      <w:r w:rsidRPr="00673F65">
        <w:rPr>
          <w:szCs w:val="22"/>
        </w:rPr>
        <w:t>is overeengekomen (art. 7:672 lid 1 BW).</w:t>
      </w:r>
    </w:p>
    <w:p w14:paraId="5CF7A7CD" w14:textId="59E22598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ab/>
        <w:t xml:space="preserve">De opzegging geschiedt dus tegen 31 augustus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3D1246">
        <w:rPr>
          <w:szCs w:val="22"/>
        </w:rPr>
        <w:t>4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 xml:space="preserve">waarna een opzegtermijn van 3 maanden volgt. Het dienstverband eindigt </w:t>
      </w:r>
      <w:r w:rsidR="005367C4">
        <w:rPr>
          <w:szCs w:val="22"/>
        </w:rPr>
        <w:t xml:space="preserve">dan </w:t>
      </w:r>
      <w:r w:rsidRPr="00673F65">
        <w:rPr>
          <w:szCs w:val="22"/>
        </w:rPr>
        <w:t xml:space="preserve">per 1 december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3D1246">
        <w:rPr>
          <w:szCs w:val="22"/>
        </w:rPr>
        <w:t>4</w:t>
      </w:r>
      <w:r w:rsidR="005367C4">
        <w:rPr>
          <w:szCs w:val="22"/>
        </w:rPr>
        <w:t>,</w:t>
      </w:r>
      <w:r w:rsidR="00B13D3A" w:rsidRPr="00673F65">
        <w:rPr>
          <w:szCs w:val="22"/>
        </w:rPr>
        <w:t xml:space="preserve"> </w:t>
      </w:r>
      <w:r w:rsidR="005367C4">
        <w:rPr>
          <w:szCs w:val="22"/>
        </w:rPr>
        <w:t xml:space="preserve">wat </w:t>
      </w:r>
      <w:r w:rsidRPr="00673F65">
        <w:rPr>
          <w:szCs w:val="22"/>
        </w:rPr>
        <w:t xml:space="preserve">betekent dat de laatste datum in dienst 30 november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3D1246">
        <w:rPr>
          <w:szCs w:val="22"/>
        </w:rPr>
        <w:t>4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>zal zijn.</w:t>
      </w:r>
    </w:p>
    <w:p w14:paraId="23ED5C8F" w14:textId="14C18831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 xml:space="preserve">2.  </w:t>
      </w:r>
      <w:r w:rsidRPr="00673F65">
        <w:rPr>
          <w:szCs w:val="22"/>
        </w:rPr>
        <w:tab/>
      </w:r>
      <w:r w:rsidR="005367C4">
        <w:rPr>
          <w:szCs w:val="22"/>
        </w:rPr>
        <w:t>Nee, e</w:t>
      </w:r>
      <w:r w:rsidRPr="00673F65">
        <w:rPr>
          <w:szCs w:val="22"/>
        </w:rPr>
        <w:t xml:space="preserve">r is sprake van een opzegverbod op grond van art. 7:670 lid 1 onder a BW. </w:t>
      </w:r>
      <w:r w:rsidR="00D022F8" w:rsidRPr="00673F65">
        <w:rPr>
          <w:szCs w:val="22"/>
        </w:rPr>
        <w:t xml:space="preserve">Alida </w:t>
      </w:r>
      <w:r w:rsidRPr="00673F65">
        <w:rPr>
          <w:szCs w:val="22"/>
        </w:rPr>
        <w:t>is op de dag van de aanvraag arbeidsongeschikt. De in art. 7:670 lid 1 onder b BW genoemde uitzondering is niet van toepassing.</w:t>
      </w:r>
      <w:r w:rsidR="00770EE2" w:rsidRPr="00673F65">
        <w:rPr>
          <w:szCs w:val="22"/>
        </w:rPr>
        <w:br/>
      </w:r>
      <w:r w:rsidRPr="00673F65">
        <w:rPr>
          <w:szCs w:val="22"/>
        </w:rPr>
        <w:t>Er is in de casus geen reden gegeven voor een uitzondering op het opzegverbod ex art. 7:670a BW, met andere woorden: er kan niet rechtsgeldig worden opgezegd.</w:t>
      </w:r>
      <w:r w:rsidR="00934308" w:rsidRPr="00673F65">
        <w:rPr>
          <w:szCs w:val="22"/>
        </w:rPr>
        <w:t xml:space="preserve"> Sterker nog</w:t>
      </w:r>
      <w:r w:rsidR="005367C4">
        <w:rPr>
          <w:szCs w:val="22"/>
        </w:rPr>
        <w:t>:</w:t>
      </w:r>
      <w:r w:rsidR="00934308" w:rsidRPr="00673F65">
        <w:rPr>
          <w:szCs w:val="22"/>
        </w:rPr>
        <w:t xml:space="preserve"> naar alle waarschijnlijkheid zal de ontslagvergunning niet worden verleend. UWV </w:t>
      </w:r>
      <w:r w:rsidR="005367C4">
        <w:rPr>
          <w:szCs w:val="22"/>
        </w:rPr>
        <w:t xml:space="preserve">moet immers </w:t>
      </w:r>
      <w:r w:rsidR="00934308" w:rsidRPr="00673F65">
        <w:rPr>
          <w:szCs w:val="22"/>
        </w:rPr>
        <w:t xml:space="preserve">zelfstandig het bestaan van een opzegverbod checken.  </w:t>
      </w:r>
      <w:r w:rsidRPr="00673F65">
        <w:rPr>
          <w:szCs w:val="22"/>
        </w:rPr>
        <w:t xml:space="preserve"> </w:t>
      </w:r>
    </w:p>
    <w:p w14:paraId="6404A1CE" w14:textId="77777777" w:rsidR="002A241E" w:rsidRPr="00673F65" w:rsidRDefault="002A241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 xml:space="preserve">3. </w:t>
      </w:r>
      <w:r w:rsidRPr="00673F65">
        <w:rPr>
          <w:szCs w:val="22"/>
        </w:rPr>
        <w:tab/>
      </w:r>
      <w:r w:rsidR="00D022F8" w:rsidRPr="00673F65">
        <w:rPr>
          <w:szCs w:val="22"/>
          <w:u w:color="00000A"/>
        </w:rPr>
        <w:t>De w</w:t>
      </w:r>
      <w:r w:rsidRPr="00673F65">
        <w:rPr>
          <w:szCs w:val="22"/>
          <w:u w:color="00000A"/>
        </w:rPr>
        <w:t xml:space="preserve">erkgever schendt hier de </w:t>
      </w:r>
      <w:proofErr w:type="spellStart"/>
      <w:r w:rsidRPr="00673F65">
        <w:rPr>
          <w:szCs w:val="22"/>
          <w:u w:color="00000A"/>
        </w:rPr>
        <w:t>wederindiensttredingsvoorwaarde</w:t>
      </w:r>
      <w:proofErr w:type="spellEnd"/>
      <w:r w:rsidRPr="00673F65">
        <w:rPr>
          <w:szCs w:val="22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73F65">
        <w:rPr>
          <w:szCs w:val="22"/>
          <w:u w:color="00000A"/>
        </w:rPr>
        <w:t xml:space="preserve"> BW</w:t>
      </w:r>
      <w:r w:rsidRPr="00673F65">
        <w:rPr>
          <w:szCs w:val="22"/>
          <w:u w:color="00000A"/>
        </w:rPr>
        <w:t>)</w:t>
      </w:r>
      <w:r w:rsidR="00D022F8" w:rsidRPr="00673F65">
        <w:rPr>
          <w:szCs w:val="22"/>
          <w:u w:color="00000A"/>
        </w:rPr>
        <w:t>.</w:t>
      </w:r>
    </w:p>
    <w:p w14:paraId="20C03D1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09F492B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  <w:u w:color="00000A"/>
        </w:rPr>
        <w:t>Opgave 7.12</w:t>
      </w:r>
    </w:p>
    <w:p w14:paraId="06AD5DE3" w14:textId="082E42A7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>Het argument van de werkneemster is juist</w:t>
      </w:r>
      <w:r w:rsidR="00934308" w:rsidRPr="00673F65">
        <w:rPr>
          <w:szCs w:val="22"/>
        </w:rPr>
        <w:t xml:space="preserve">. De proeftijd is gaan lopen op 28 april </w:t>
      </w:r>
      <w:r w:rsidR="00B13D3A" w:rsidRPr="00673F65">
        <w:rPr>
          <w:szCs w:val="22"/>
        </w:rPr>
        <w:t>202</w:t>
      </w:r>
      <w:r w:rsidR="003D1246">
        <w:rPr>
          <w:szCs w:val="22"/>
        </w:rPr>
        <w:t>5</w:t>
      </w:r>
      <w:r w:rsidR="00B13D3A" w:rsidRPr="00673F65">
        <w:rPr>
          <w:szCs w:val="22"/>
        </w:rPr>
        <w:t xml:space="preserve"> </w:t>
      </w:r>
      <w:r w:rsidR="00934308" w:rsidRPr="00673F65">
        <w:rPr>
          <w:szCs w:val="22"/>
        </w:rPr>
        <w:t xml:space="preserve">en afgelopen op 28 juni </w:t>
      </w:r>
      <w:r w:rsidR="00B13D3A" w:rsidRPr="00673F65">
        <w:rPr>
          <w:szCs w:val="22"/>
        </w:rPr>
        <w:t>202</w:t>
      </w:r>
      <w:r w:rsidR="003D1246">
        <w:rPr>
          <w:szCs w:val="22"/>
        </w:rPr>
        <w:t>5</w:t>
      </w:r>
      <w:r w:rsidR="00934308" w:rsidRPr="00673F65">
        <w:rPr>
          <w:szCs w:val="22"/>
        </w:rPr>
        <w:t>.</w:t>
      </w:r>
      <w:r w:rsidR="002A241E" w:rsidRPr="00673F65">
        <w:rPr>
          <w:szCs w:val="22"/>
        </w:rPr>
        <w:t xml:space="preserve"> </w:t>
      </w:r>
    </w:p>
    <w:p w14:paraId="43F7740E" w14:textId="77777777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2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73F65">
        <w:rPr>
          <w:szCs w:val="22"/>
        </w:rPr>
        <w:t xml:space="preserve">op het </w:t>
      </w:r>
      <w:r w:rsidR="002A241E" w:rsidRPr="00673F65">
        <w:rPr>
          <w:szCs w:val="22"/>
        </w:rPr>
        <w:t>algemeen verbindend en het onverbindend verklaren van bepalingen van collectieve arbeidsovereenkomsten).</w:t>
      </w:r>
    </w:p>
    <w:p w14:paraId="072C0578" w14:textId="77777777" w:rsidR="002A241E" w:rsidRPr="00673F65" w:rsidRDefault="002A241E" w:rsidP="00770EE2">
      <w:pPr>
        <w:ind w:left="567" w:hanging="567"/>
        <w:rPr>
          <w:szCs w:val="22"/>
        </w:rPr>
      </w:pPr>
    </w:p>
    <w:p w14:paraId="3EDA91E7" w14:textId="77777777" w:rsidR="00571A21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7.13</w:t>
      </w:r>
    </w:p>
    <w:p w14:paraId="621C256E" w14:textId="63EFEFC8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Art. 7:672 lid 4 BW bepaalt dat de opzegtermijn van de werknemer 1 maand is. Art. 7:672 lid 1 BW bepaalt dat de opzegging geschiedt tegen het einde van een maand. De arbeidsovereenkomst kan bij opzegging door Hans eindigen per 1 februari 202</w:t>
      </w:r>
      <w:r w:rsidR="003D1246">
        <w:rPr>
          <w:szCs w:val="22"/>
        </w:rPr>
        <w:t>5</w:t>
      </w:r>
      <w:r w:rsidRPr="00673F65">
        <w:rPr>
          <w:szCs w:val="22"/>
        </w:rPr>
        <w:t>.</w:t>
      </w:r>
    </w:p>
    <w:p w14:paraId="6CD4D6FB" w14:textId="607F217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  <w:t xml:space="preserve">Ja. Van art. 7:672 lid 4 BW </w:t>
      </w:r>
      <w:r w:rsidR="005367C4">
        <w:rPr>
          <w:szCs w:val="22"/>
        </w:rPr>
        <w:t>kan</w:t>
      </w:r>
      <w:r w:rsidRPr="00673F65">
        <w:rPr>
          <w:szCs w:val="22"/>
        </w:rPr>
        <w:t xml:space="preserve"> volgens art. 7:672 lid 8 BW schriftelijk </w:t>
      </w:r>
      <w:r w:rsidR="005367C4">
        <w:rPr>
          <w:szCs w:val="22"/>
        </w:rPr>
        <w:t>worden afgeweken</w:t>
      </w:r>
      <w:r w:rsidRPr="00673F65">
        <w:rPr>
          <w:szCs w:val="22"/>
        </w:rPr>
        <w:t>. De opzegtermijn mag echter niet langer zijn dan 6 maanden en de opzegtermijn van de werkgever moet minimaal het dubbele bedragen van de opzegtermijn die voor de werknemer geldt.</w:t>
      </w:r>
    </w:p>
    <w:p w14:paraId="3C485C36" w14:textId="77777777" w:rsidR="00571A21" w:rsidRPr="00673F65" w:rsidRDefault="00571A21" w:rsidP="00571A21">
      <w:pPr>
        <w:ind w:left="567" w:hanging="567"/>
        <w:rPr>
          <w:szCs w:val="22"/>
        </w:rPr>
      </w:pPr>
    </w:p>
    <w:p w14:paraId="3F06555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Opgave 7.14</w:t>
      </w:r>
    </w:p>
    <w:p w14:paraId="7105B124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Bij 16 jaar dienstverband is de opzegtermijn conform art. 7:672 lid 2 BW 4 maanden. Een verkorting </w:t>
      </w:r>
    </w:p>
    <w:p w14:paraId="0269A28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van deze termijn kan ingevolge art. 7:672 lid 7 BW slechts bij collectieve arbeidsovereenkomst </w:t>
      </w:r>
    </w:p>
    <w:p w14:paraId="298DA110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worden geregeld en dus niet bij individuele arbeidsovereenkomst. Hans heeft door het instemmen </w:t>
      </w:r>
    </w:p>
    <w:p w14:paraId="3968B23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met de beëindigingsovereenkomst, waarin een te korte opzegtermijn is opgenomen, een </w:t>
      </w:r>
    </w:p>
    <w:p w14:paraId="008AAD53" w14:textId="664B36DB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benadelingshandeling gepleegd. UWV weigert op grond van art. 24 lid 5 jo. art. 27 lid 3 WW over de </w:t>
      </w:r>
    </w:p>
    <w:p w14:paraId="6327F07D" w14:textId="6E846365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periode van 2 maanden van werkloosheid de WW-uitkering. De uitkering wordt pas verstrekt vanaf </w:t>
      </w:r>
    </w:p>
    <w:p w14:paraId="0E41D31E" w14:textId="4419A37E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 mei 202</w:t>
      </w:r>
      <w:r w:rsidR="003D1246">
        <w:rPr>
          <w:szCs w:val="22"/>
        </w:rPr>
        <w:t>5</w:t>
      </w:r>
      <w:r w:rsidRPr="00673F65">
        <w:rPr>
          <w:szCs w:val="22"/>
        </w:rPr>
        <w:t>.</w:t>
      </w:r>
    </w:p>
    <w:sectPr w:rsidR="00571A21" w:rsidRPr="00673F65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4B21" w14:textId="77777777" w:rsidR="007923BD" w:rsidRDefault="007923BD" w:rsidP="00E90135">
      <w:r>
        <w:separator/>
      </w:r>
    </w:p>
  </w:endnote>
  <w:endnote w:type="continuationSeparator" w:id="0">
    <w:p w14:paraId="66FA6872" w14:textId="77777777" w:rsidR="007923BD" w:rsidRDefault="007923BD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0017" w14:textId="0749B1DD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97135C">
          <w:rPr>
            <w:noProof/>
            <w:sz w:val="18"/>
            <w:szCs w:val="18"/>
          </w:rPr>
          <w:t>1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FF5CF" w14:textId="77777777" w:rsidR="007923BD" w:rsidRDefault="007923BD" w:rsidP="00E90135">
      <w:r>
        <w:separator/>
      </w:r>
    </w:p>
  </w:footnote>
  <w:footnote w:type="continuationSeparator" w:id="0">
    <w:p w14:paraId="29799C96" w14:textId="77777777" w:rsidR="007923BD" w:rsidRDefault="007923BD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29FC" w14:textId="2C569375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BE1264">
      <w:rPr>
        <w:rFonts w:ascii="Times New Roman" w:hAnsi="Times New Roman"/>
        <w:b/>
        <w:bCs/>
        <w:i/>
        <w:sz w:val="22"/>
        <w:szCs w:val="22"/>
      </w:rPr>
      <w:t>4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BE1264">
      <w:rPr>
        <w:rFonts w:ascii="Times New Roman" w:hAnsi="Times New Roman"/>
        <w:b/>
        <w:bCs/>
        <w:i/>
        <w:sz w:val="22"/>
        <w:szCs w:val="22"/>
      </w:rPr>
      <w:t>5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9739">
    <w:abstractNumId w:val="2"/>
  </w:num>
  <w:num w:numId="2" w16cid:durableId="1741751187">
    <w:abstractNumId w:val="1"/>
  </w:num>
  <w:num w:numId="3" w16cid:durableId="2047943227">
    <w:abstractNumId w:val="0"/>
  </w:num>
  <w:num w:numId="4" w16cid:durableId="55431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582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D1246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61BF3"/>
    <w:rsid w:val="00571A21"/>
    <w:rsid w:val="005D3894"/>
    <w:rsid w:val="005E39A4"/>
    <w:rsid w:val="005E465B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923BD"/>
    <w:rsid w:val="007B6D89"/>
    <w:rsid w:val="007D09A9"/>
    <w:rsid w:val="007D0E4C"/>
    <w:rsid w:val="007D227B"/>
    <w:rsid w:val="00800B65"/>
    <w:rsid w:val="008059A9"/>
    <w:rsid w:val="008176BC"/>
    <w:rsid w:val="0081779C"/>
    <w:rsid w:val="00842920"/>
    <w:rsid w:val="00844206"/>
    <w:rsid w:val="008A534C"/>
    <w:rsid w:val="008D2B5A"/>
    <w:rsid w:val="008E4299"/>
    <w:rsid w:val="008F04A9"/>
    <w:rsid w:val="00934308"/>
    <w:rsid w:val="00935972"/>
    <w:rsid w:val="00965FA1"/>
    <w:rsid w:val="0097135C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BE126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739D9"/>
    <w:rsid w:val="00F95146"/>
    <w:rsid w:val="00FA50F5"/>
    <w:rsid w:val="00FB1018"/>
    <w:rsid w:val="00FB4444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F5DB-26E0-4D2D-BA25-7756776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cp:lastPrinted>2018-02-26T11:04:00Z</cp:lastPrinted>
  <dcterms:created xsi:type="dcterms:W3CDTF">2024-06-07T08:52:00Z</dcterms:created>
  <dcterms:modified xsi:type="dcterms:W3CDTF">2024-06-07T08:52:00Z</dcterms:modified>
</cp:coreProperties>
</file>